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1D51" w14:textId="17CD3D84" w:rsidR="00A84F37" w:rsidRDefault="00A84F37" w:rsidP="00A84F37">
      <w:pPr>
        <w:pStyle w:val="Subtitle"/>
        <w:jc w:val="both"/>
        <w:rPr>
          <w:rFonts w:eastAsia="Calibri"/>
        </w:rPr>
      </w:pPr>
      <w:r>
        <w:rPr>
          <w:rFonts w:eastAsia="Calibri"/>
          <w:noProof/>
        </w:rPr>
        <w:drawing>
          <wp:inline distT="0" distB="0" distL="0" distR="0" wp14:anchorId="37BDB9EF" wp14:editId="7FAE4168">
            <wp:extent cx="5943600" cy="1061085"/>
            <wp:effectExtent l="0" t="0" r="0" b="5715"/>
            <wp:docPr id="180197911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79115"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61085"/>
                    </a:xfrm>
                    <a:prstGeom prst="rect">
                      <a:avLst/>
                    </a:prstGeom>
                  </pic:spPr>
                </pic:pic>
              </a:graphicData>
            </a:graphic>
          </wp:inline>
        </w:drawing>
      </w:r>
    </w:p>
    <w:p w14:paraId="307D3F5F" w14:textId="3ED0D4BD" w:rsidR="00C45A2B" w:rsidRDefault="2C01CE36" w:rsidP="00A84F37">
      <w:pPr>
        <w:pStyle w:val="Subtitle"/>
        <w:jc w:val="both"/>
        <w:rPr>
          <w:rFonts w:eastAsia="Calibri"/>
        </w:rPr>
      </w:pPr>
      <w:r w:rsidRPr="4CA70DA8">
        <w:rPr>
          <w:rFonts w:eastAsia="Calibri"/>
        </w:rPr>
        <w:t xml:space="preserve">Acumatica cloud-based ERP software solution is </w:t>
      </w:r>
      <w:r w:rsidR="1976A03B" w:rsidRPr="4CA70DA8">
        <w:rPr>
          <w:rFonts w:eastAsia="Calibri"/>
        </w:rPr>
        <w:t xml:space="preserve">a comprehensive modern ERP with multiple modules to fit your growing business needs. Specific to industry needs, Acumatica Construction </w:t>
      </w:r>
      <w:r w:rsidR="3B2D7D59" w:rsidRPr="4CA70DA8">
        <w:rPr>
          <w:rFonts w:eastAsia="Calibri"/>
        </w:rPr>
        <w:t>Edition is suited for growing construction companies wi</w:t>
      </w:r>
      <w:r w:rsidR="5760EE60" w:rsidRPr="4CA70DA8">
        <w:rPr>
          <w:rFonts w:eastAsia="Calibri"/>
        </w:rPr>
        <w:t xml:space="preserve">th needs that </w:t>
      </w:r>
      <w:r w:rsidR="2B0F6C09" w:rsidRPr="4CA70DA8">
        <w:rPr>
          <w:rFonts w:eastAsia="Calibri"/>
        </w:rPr>
        <w:t>include</w:t>
      </w:r>
      <w:r w:rsidR="5760EE60" w:rsidRPr="4CA70DA8">
        <w:rPr>
          <w:rFonts w:eastAsia="Calibri"/>
        </w:rPr>
        <w:t xml:space="preserve"> built-in CRM, field service monitoring, project </w:t>
      </w:r>
      <w:r w:rsidR="419CBEDD" w:rsidRPr="4CA70DA8">
        <w:rPr>
          <w:rFonts w:eastAsia="Calibri"/>
        </w:rPr>
        <w:t>budgeting</w:t>
      </w:r>
      <w:r w:rsidR="5760EE60" w:rsidRPr="4CA70DA8">
        <w:rPr>
          <w:rFonts w:eastAsia="Calibri"/>
        </w:rPr>
        <w:t xml:space="preserve"> and costing, mobile </w:t>
      </w:r>
      <w:r w:rsidR="7E2E428F" w:rsidRPr="4CA70DA8">
        <w:rPr>
          <w:rFonts w:eastAsia="Calibri"/>
        </w:rPr>
        <w:t xml:space="preserve">access, and inventory management. </w:t>
      </w:r>
      <w:r w:rsidR="0E2EC295" w:rsidRPr="4CA70DA8">
        <w:rPr>
          <w:rFonts w:eastAsia="Calibri"/>
        </w:rPr>
        <w:t xml:space="preserve">The platform is user friendly and has robust </w:t>
      </w:r>
      <w:r w:rsidR="579F8B60" w:rsidRPr="4CA70DA8">
        <w:rPr>
          <w:rFonts w:eastAsia="Calibri"/>
        </w:rPr>
        <w:t>financial</w:t>
      </w:r>
      <w:r w:rsidR="0E2EC295" w:rsidRPr="4CA70DA8">
        <w:rPr>
          <w:rFonts w:eastAsia="Calibri"/>
        </w:rPr>
        <w:t xml:space="preserve"> management and project costing for your business. </w:t>
      </w:r>
      <w:r w:rsidR="403F8B7C" w:rsidRPr="4CA70DA8">
        <w:rPr>
          <w:rFonts w:eastAsia="Calibri"/>
        </w:rPr>
        <w:t xml:space="preserve">The project costing process within Acumatica is simple, streamlined, and </w:t>
      </w:r>
      <w:r w:rsidR="1F519EDE" w:rsidRPr="4CA70DA8">
        <w:rPr>
          <w:rFonts w:eastAsia="Calibri"/>
        </w:rPr>
        <w:t xml:space="preserve">completed in one system. </w:t>
      </w:r>
    </w:p>
    <w:p w14:paraId="2983F877" w14:textId="7A5FC923" w:rsidR="7A409180" w:rsidRDefault="7A409180" w:rsidP="00A84F37">
      <w:pPr>
        <w:pStyle w:val="Subtitle"/>
        <w:jc w:val="both"/>
        <w:rPr>
          <w:rFonts w:eastAsia="Calibri"/>
        </w:rPr>
      </w:pPr>
      <w:r w:rsidRPr="20B1AC97">
        <w:rPr>
          <w:rFonts w:eastAsia="Calibri"/>
        </w:rPr>
        <w:t xml:space="preserve">The financial portion of the </w:t>
      </w:r>
      <w:r w:rsidR="2F52A651" w:rsidRPr="20B1AC97">
        <w:rPr>
          <w:rFonts w:eastAsia="Calibri"/>
        </w:rPr>
        <w:t>C</w:t>
      </w:r>
      <w:r w:rsidRPr="20B1AC97">
        <w:rPr>
          <w:rFonts w:eastAsia="Calibri"/>
        </w:rPr>
        <w:t xml:space="preserve">onstruction </w:t>
      </w:r>
      <w:r w:rsidR="757FC422" w:rsidRPr="20B1AC97">
        <w:rPr>
          <w:rFonts w:eastAsia="Calibri"/>
        </w:rPr>
        <w:t>E</w:t>
      </w:r>
      <w:r w:rsidR="4F5CA563" w:rsidRPr="20B1AC97">
        <w:rPr>
          <w:rFonts w:eastAsia="Calibri"/>
        </w:rPr>
        <w:t>dition</w:t>
      </w:r>
      <w:r w:rsidRPr="20B1AC97">
        <w:rPr>
          <w:rFonts w:eastAsia="Calibri"/>
        </w:rPr>
        <w:t xml:space="preserve"> in Acumatica is very robust. </w:t>
      </w:r>
      <w:r w:rsidR="420D7528" w:rsidRPr="20B1AC97">
        <w:rPr>
          <w:rFonts w:eastAsia="Calibri"/>
        </w:rPr>
        <w:t>Within the module, users can manage GL/AP/AR, run real-time reports on materials and equipment, easily mana</w:t>
      </w:r>
      <w:r w:rsidR="2757B57B" w:rsidRPr="20B1AC97">
        <w:rPr>
          <w:rFonts w:eastAsia="Calibri"/>
        </w:rPr>
        <w:t xml:space="preserve">ge daily </w:t>
      </w:r>
      <w:r w:rsidR="224A093E" w:rsidRPr="20B1AC97">
        <w:rPr>
          <w:rFonts w:eastAsia="Calibri"/>
        </w:rPr>
        <w:t>field reports</w:t>
      </w:r>
      <w:r w:rsidR="2757B57B" w:rsidRPr="20B1AC97">
        <w:rPr>
          <w:rFonts w:eastAsia="Calibri"/>
        </w:rPr>
        <w:t xml:space="preserve">, capture time and expenses for projects, manage inventory, and many </w:t>
      </w:r>
      <w:r w:rsidR="39288113" w:rsidRPr="20B1AC97">
        <w:rPr>
          <w:rFonts w:eastAsia="Calibri"/>
        </w:rPr>
        <w:t>other</w:t>
      </w:r>
      <w:r w:rsidR="2757B57B" w:rsidRPr="20B1AC97">
        <w:rPr>
          <w:rFonts w:eastAsia="Calibri"/>
        </w:rPr>
        <w:t xml:space="preserve"> important items to manage a successful </w:t>
      </w:r>
      <w:r w:rsidR="071C5130" w:rsidRPr="20B1AC97">
        <w:rPr>
          <w:rFonts w:eastAsia="Calibri"/>
        </w:rPr>
        <w:t>project-based</w:t>
      </w:r>
      <w:r w:rsidR="2757B57B" w:rsidRPr="20B1AC97">
        <w:rPr>
          <w:rFonts w:eastAsia="Calibri"/>
        </w:rPr>
        <w:t xml:space="preserve"> business. </w:t>
      </w:r>
      <w:r w:rsidR="0C01111A" w:rsidRPr="20B1AC97">
        <w:rPr>
          <w:rFonts w:eastAsia="Calibri"/>
        </w:rPr>
        <w:t xml:space="preserve">The following process reviews the steps of project costing in Acumatica and </w:t>
      </w:r>
      <w:r w:rsidR="519B6213" w:rsidRPr="20B1AC97">
        <w:rPr>
          <w:rFonts w:eastAsia="Calibri"/>
        </w:rPr>
        <w:t>its</w:t>
      </w:r>
      <w:r w:rsidR="0C01111A" w:rsidRPr="20B1AC97">
        <w:rPr>
          <w:rFonts w:eastAsia="Calibri"/>
        </w:rPr>
        <w:t xml:space="preserve"> benefits. </w:t>
      </w:r>
    </w:p>
    <w:p w14:paraId="0BAB3C4E" w14:textId="4477B102" w:rsidR="02F80FF4" w:rsidRPr="00A84F37" w:rsidRDefault="00876ECC" w:rsidP="00876ECC">
      <w:pPr>
        <w:pStyle w:val="Heading2"/>
        <w:spacing w:line="360" w:lineRule="auto"/>
        <w:rPr>
          <w:rFonts w:eastAsia="Calibri"/>
          <w:b/>
          <w:bCs/>
        </w:rPr>
      </w:pPr>
      <w:r>
        <w:rPr>
          <w:rFonts w:eastAsia="Calibri"/>
          <w:noProof/>
        </w:rPr>
        <w:drawing>
          <wp:anchor distT="0" distB="0" distL="114300" distR="114300" simplePos="0" relativeHeight="251659264" behindDoc="1" locked="0" layoutInCell="1" allowOverlap="1" wp14:anchorId="159C2146" wp14:editId="3CFC7088">
            <wp:simplePos x="0" y="0"/>
            <wp:positionH relativeFrom="margin">
              <wp:align>left</wp:align>
            </wp:positionH>
            <wp:positionV relativeFrom="paragraph">
              <wp:posOffset>299085</wp:posOffset>
            </wp:positionV>
            <wp:extent cx="1814830" cy="1814830"/>
            <wp:effectExtent l="0" t="0" r="0" b="0"/>
            <wp:wrapSquare wrapText="bothSides"/>
            <wp:docPr id="900114197"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14197" name="Picture 2"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4830" cy="1814830"/>
                    </a:xfrm>
                    <a:prstGeom prst="rect">
                      <a:avLst/>
                    </a:prstGeom>
                  </pic:spPr>
                </pic:pic>
              </a:graphicData>
            </a:graphic>
            <wp14:sizeRelH relativeFrom="margin">
              <wp14:pctWidth>0</wp14:pctWidth>
            </wp14:sizeRelH>
            <wp14:sizeRelV relativeFrom="margin">
              <wp14:pctHeight>0</wp14:pctHeight>
            </wp14:sizeRelV>
          </wp:anchor>
        </w:drawing>
      </w:r>
      <w:r w:rsidR="02F80FF4" w:rsidRPr="00A84F37">
        <w:rPr>
          <w:rFonts w:eastAsia="Calibri"/>
          <w:b/>
          <w:bCs/>
        </w:rPr>
        <w:t xml:space="preserve">Quote to a Project in Acumatica </w:t>
      </w:r>
    </w:p>
    <w:p w14:paraId="15DF87DA" w14:textId="00415ECD" w:rsidR="36A6262A" w:rsidRDefault="00876ECC" w:rsidP="00A84F37">
      <w:pPr>
        <w:pStyle w:val="Subtitle"/>
        <w:jc w:val="both"/>
        <w:rPr>
          <w:rFonts w:eastAsia="Calibri"/>
        </w:rPr>
      </w:pPr>
      <w:r>
        <w:rPr>
          <w:noProof/>
        </w:rPr>
        <w:drawing>
          <wp:anchor distT="0" distB="0" distL="114300" distR="114300" simplePos="0" relativeHeight="251658240" behindDoc="1" locked="0" layoutInCell="1" allowOverlap="1" wp14:anchorId="48661AB0" wp14:editId="1E123EB5">
            <wp:simplePos x="0" y="0"/>
            <wp:positionH relativeFrom="margin">
              <wp:align>right</wp:align>
            </wp:positionH>
            <wp:positionV relativeFrom="paragraph">
              <wp:posOffset>1673399</wp:posOffset>
            </wp:positionV>
            <wp:extent cx="5943600" cy="2506345"/>
            <wp:effectExtent l="0" t="0" r="0" b="8255"/>
            <wp:wrapSquare wrapText="bothSides"/>
            <wp:docPr id="1911824175" name="Picture 191182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b="17393"/>
                    <a:stretch>
                      <a:fillRect/>
                    </a:stretch>
                  </pic:blipFill>
                  <pic:spPr>
                    <a:xfrm>
                      <a:off x="0" y="0"/>
                      <a:ext cx="5943600" cy="2506345"/>
                    </a:xfrm>
                    <a:prstGeom prst="rect">
                      <a:avLst/>
                    </a:prstGeom>
                  </pic:spPr>
                </pic:pic>
              </a:graphicData>
            </a:graphic>
            <wp14:sizeRelH relativeFrom="margin">
              <wp14:pctWidth>0</wp14:pctWidth>
            </wp14:sizeRelH>
            <wp14:sizeRelV relativeFrom="margin">
              <wp14:pctHeight>0</wp14:pctHeight>
            </wp14:sizeRelV>
          </wp:anchor>
        </w:drawing>
      </w:r>
      <w:r w:rsidR="36A6262A" w:rsidRPr="4597A70E">
        <w:rPr>
          <w:rFonts w:eastAsia="Calibri"/>
        </w:rPr>
        <w:t xml:space="preserve">Creating a quote in Acumatica starts the process of capturing all relevant information for a project in Acumatica. </w:t>
      </w:r>
      <w:r w:rsidR="5C1FA353" w:rsidRPr="4597A70E">
        <w:rPr>
          <w:rFonts w:eastAsia="Calibri"/>
        </w:rPr>
        <w:t>I</w:t>
      </w:r>
      <w:r w:rsidR="67FEEC0A" w:rsidRPr="4597A70E">
        <w:rPr>
          <w:rFonts w:eastAsia="Calibri"/>
        </w:rPr>
        <w:t>nformation such as address, billing method</w:t>
      </w:r>
      <w:r w:rsidR="5B785728" w:rsidRPr="4597A70E">
        <w:rPr>
          <w:rFonts w:eastAsia="Calibri"/>
        </w:rPr>
        <w:t>,</w:t>
      </w:r>
      <w:r w:rsidR="67FEEC0A" w:rsidRPr="4597A70E">
        <w:rPr>
          <w:rFonts w:eastAsia="Calibri"/>
        </w:rPr>
        <w:t xml:space="preserve"> project manager</w:t>
      </w:r>
      <w:r w:rsidR="13F381B1" w:rsidRPr="4597A70E">
        <w:rPr>
          <w:rFonts w:eastAsia="Calibri"/>
        </w:rPr>
        <w:t xml:space="preserve"> and other project specific data </w:t>
      </w:r>
      <w:r w:rsidR="67FEEC0A" w:rsidRPr="4597A70E">
        <w:rPr>
          <w:rFonts w:eastAsia="Calibri"/>
        </w:rPr>
        <w:t>are</w:t>
      </w:r>
      <w:r w:rsidR="776EFE9A" w:rsidRPr="4597A70E">
        <w:rPr>
          <w:rFonts w:eastAsia="Calibri"/>
        </w:rPr>
        <w:t xml:space="preserve"> entered</w:t>
      </w:r>
      <w:r w:rsidR="67FEEC0A" w:rsidRPr="4597A70E">
        <w:rPr>
          <w:rFonts w:eastAsia="Calibri"/>
        </w:rPr>
        <w:t xml:space="preserve"> </w:t>
      </w:r>
      <w:r w:rsidR="7B44729A" w:rsidRPr="4597A70E">
        <w:rPr>
          <w:rFonts w:eastAsia="Calibri"/>
        </w:rPr>
        <w:t>in</w:t>
      </w:r>
      <w:r w:rsidR="67FEEC0A" w:rsidRPr="4597A70E">
        <w:rPr>
          <w:rFonts w:eastAsia="Calibri"/>
        </w:rPr>
        <w:t>to the quote</w:t>
      </w:r>
      <w:r w:rsidR="55CD851A" w:rsidRPr="4597A70E">
        <w:rPr>
          <w:rFonts w:eastAsia="Calibri"/>
        </w:rPr>
        <w:t>.</w:t>
      </w:r>
      <w:r w:rsidR="67FEEC0A" w:rsidRPr="4597A70E">
        <w:rPr>
          <w:rFonts w:eastAsia="Calibri"/>
        </w:rPr>
        <w:t xml:space="preserve"> </w:t>
      </w:r>
      <w:r w:rsidR="2D01D68C" w:rsidRPr="4597A70E">
        <w:rPr>
          <w:rFonts w:eastAsia="Calibri"/>
        </w:rPr>
        <w:t xml:space="preserve">Specific to the asphalt industry, Acumatica can house data in the project quote such as asphalt price index. </w:t>
      </w:r>
      <w:r w:rsidR="36A6262A" w:rsidRPr="4597A70E">
        <w:rPr>
          <w:rFonts w:eastAsia="Calibri"/>
        </w:rPr>
        <w:t xml:space="preserve">Once a quote is </w:t>
      </w:r>
      <w:r w:rsidR="4CB1AA66" w:rsidRPr="4597A70E">
        <w:rPr>
          <w:rFonts w:eastAsia="Calibri"/>
        </w:rPr>
        <w:t>approved by the customer, it can be converted to a project</w:t>
      </w:r>
      <w:r w:rsidR="05C9325A" w:rsidRPr="4597A70E">
        <w:rPr>
          <w:rFonts w:eastAsia="Calibri"/>
        </w:rPr>
        <w:t xml:space="preserve"> with just a couple of clicks. </w:t>
      </w:r>
    </w:p>
    <w:p w14:paraId="7772D7C9" w14:textId="4CC4DC84" w:rsidR="05FCCEB9" w:rsidRDefault="7A1243C0" w:rsidP="00A84F37">
      <w:pPr>
        <w:pStyle w:val="Subtitle"/>
        <w:jc w:val="both"/>
        <w:rPr>
          <w:rFonts w:eastAsia="Calibri"/>
        </w:rPr>
      </w:pPr>
      <w:r w:rsidRPr="20B1AC97">
        <w:rPr>
          <w:rFonts w:eastAsia="Calibri"/>
        </w:rPr>
        <w:lastRenderedPageBreak/>
        <w:t>The project</w:t>
      </w:r>
      <w:r w:rsidR="38837F0D" w:rsidRPr="20B1AC97">
        <w:rPr>
          <w:rFonts w:eastAsia="Calibri"/>
        </w:rPr>
        <w:t xml:space="preserve"> screen</w:t>
      </w:r>
      <w:r w:rsidRPr="20B1AC97">
        <w:rPr>
          <w:rFonts w:eastAsia="Calibri"/>
        </w:rPr>
        <w:t xml:space="preserve"> in Acumatica has all the information related to a quote previously done</w:t>
      </w:r>
      <w:r w:rsidR="1D59F3C0" w:rsidRPr="20B1AC97">
        <w:rPr>
          <w:rFonts w:eastAsia="Calibri"/>
        </w:rPr>
        <w:t xml:space="preserve"> including the asphalt price index</w:t>
      </w:r>
      <w:r w:rsidRPr="20B1AC97">
        <w:rPr>
          <w:rFonts w:eastAsia="Calibri"/>
        </w:rPr>
        <w:t xml:space="preserve">. </w:t>
      </w:r>
      <w:r w:rsidR="2CA94D11" w:rsidRPr="20B1AC97">
        <w:rPr>
          <w:rFonts w:eastAsia="Calibri"/>
        </w:rPr>
        <w:t xml:space="preserve">This screen provides a one </w:t>
      </w:r>
      <w:r w:rsidR="4DBB965C" w:rsidRPr="20B1AC97">
        <w:rPr>
          <w:rFonts w:eastAsia="Calibri"/>
        </w:rPr>
        <w:t>s</w:t>
      </w:r>
      <w:r w:rsidR="2CA94D11" w:rsidRPr="20B1AC97">
        <w:rPr>
          <w:rFonts w:eastAsia="Calibri"/>
        </w:rPr>
        <w:t xml:space="preserve">top shop for all information related to a project. As seen on the screen shot </w:t>
      </w:r>
      <w:r w:rsidR="00876ECC">
        <w:rPr>
          <w:rFonts w:eastAsia="Calibri"/>
        </w:rPr>
        <w:t>above</w:t>
      </w:r>
      <w:r w:rsidR="2CA94D11" w:rsidRPr="20B1AC97">
        <w:rPr>
          <w:rFonts w:eastAsia="Calibri"/>
        </w:rPr>
        <w:t xml:space="preserve">, users can access information such as change orders, </w:t>
      </w:r>
      <w:r w:rsidR="1C9ACCDF" w:rsidRPr="20B1AC97">
        <w:rPr>
          <w:rFonts w:eastAsia="Calibri"/>
        </w:rPr>
        <w:t>commitments, invoices</w:t>
      </w:r>
      <w:r w:rsidR="7CAC6658" w:rsidRPr="20B1AC97">
        <w:rPr>
          <w:rFonts w:eastAsia="Calibri"/>
        </w:rPr>
        <w:t xml:space="preserve"> and more</w:t>
      </w:r>
      <w:r w:rsidR="1C9ACCDF" w:rsidRPr="20B1AC97">
        <w:rPr>
          <w:rFonts w:eastAsia="Calibri"/>
        </w:rPr>
        <w:t xml:space="preserve"> all </w:t>
      </w:r>
      <w:proofErr w:type="gramStart"/>
      <w:r w:rsidR="1C9ACCDF" w:rsidRPr="20B1AC97">
        <w:rPr>
          <w:rFonts w:eastAsia="Calibri"/>
        </w:rPr>
        <w:t>in</w:t>
      </w:r>
      <w:proofErr w:type="gramEnd"/>
      <w:r w:rsidR="1C9ACCDF" w:rsidRPr="20B1AC97">
        <w:rPr>
          <w:rFonts w:eastAsia="Calibri"/>
        </w:rPr>
        <w:t xml:space="preserve"> the same screen. This is a powerful tool for Acumatica and a great benefit for construction users who </w:t>
      </w:r>
      <w:r w:rsidR="21F61EF5" w:rsidRPr="20B1AC97">
        <w:rPr>
          <w:rFonts w:eastAsia="Calibri"/>
        </w:rPr>
        <w:t>can</w:t>
      </w:r>
      <w:r w:rsidR="7BED3F77" w:rsidRPr="20B1AC97">
        <w:rPr>
          <w:rFonts w:eastAsia="Calibri"/>
        </w:rPr>
        <w:t xml:space="preserve"> </w:t>
      </w:r>
      <w:r w:rsidR="21F61EF5" w:rsidRPr="20B1AC97">
        <w:rPr>
          <w:rFonts w:eastAsia="Calibri"/>
        </w:rPr>
        <w:t xml:space="preserve">use this screen to get more information about </w:t>
      </w:r>
      <w:r w:rsidR="038B03A1" w:rsidRPr="20B1AC97">
        <w:rPr>
          <w:rFonts w:eastAsia="Calibri"/>
        </w:rPr>
        <w:t>the costs</w:t>
      </w:r>
      <w:r w:rsidR="21F61EF5" w:rsidRPr="20B1AC97">
        <w:rPr>
          <w:rFonts w:eastAsia="Calibri"/>
        </w:rPr>
        <w:t xml:space="preserve"> of the project. </w:t>
      </w:r>
    </w:p>
    <w:p w14:paraId="0CC48518" w14:textId="04BE279D" w:rsidR="5EC1D4D6" w:rsidRPr="00A84F37" w:rsidRDefault="5EC1D4D6" w:rsidP="00876ECC">
      <w:pPr>
        <w:pStyle w:val="Heading2"/>
        <w:spacing w:line="360" w:lineRule="auto"/>
        <w:rPr>
          <w:rFonts w:eastAsia="Calibri"/>
          <w:b/>
          <w:bCs/>
        </w:rPr>
      </w:pPr>
      <w:r w:rsidRPr="00A84F37">
        <w:rPr>
          <w:rFonts w:eastAsia="Calibri"/>
          <w:b/>
          <w:bCs/>
        </w:rPr>
        <w:t>Cost</w:t>
      </w:r>
      <w:r w:rsidR="1DC375F6" w:rsidRPr="00A84F37">
        <w:rPr>
          <w:rFonts w:eastAsia="Calibri"/>
          <w:b/>
          <w:bCs/>
        </w:rPr>
        <w:t>s</w:t>
      </w:r>
      <w:r w:rsidRPr="00A84F37">
        <w:rPr>
          <w:rFonts w:eastAsia="Calibri"/>
          <w:b/>
          <w:bCs/>
        </w:rPr>
        <w:t xml:space="preserve"> of a Project in Acumatica</w:t>
      </w:r>
    </w:p>
    <w:p w14:paraId="34F4F852" w14:textId="236B45FF" w:rsidR="0F517EC2" w:rsidRDefault="0F517EC2" w:rsidP="00A84F37">
      <w:pPr>
        <w:pStyle w:val="Subtitle"/>
        <w:jc w:val="both"/>
      </w:pPr>
      <w:r>
        <w:t xml:space="preserve">Companies like </w:t>
      </w:r>
      <w:r w:rsidR="739A8B2E">
        <w:t>you</w:t>
      </w:r>
      <w:r w:rsidR="53E340D6">
        <w:t xml:space="preserve">rs </w:t>
      </w:r>
      <w:r>
        <w:t>typically use more than one system in tandem with their accounting system to manage their asphalt business. Systems that</w:t>
      </w:r>
      <w:r w:rsidR="28ACAB57">
        <w:t xml:space="preserve"> aren’t integrated can bring added costs to the company. The beauty of an all-in-one system eli</w:t>
      </w:r>
      <w:r w:rsidR="55859B28">
        <w:t xml:space="preserve">minates </w:t>
      </w:r>
      <w:r w:rsidR="28ACAB57">
        <w:t xml:space="preserve">the </w:t>
      </w:r>
      <w:r w:rsidR="3F33B2FE">
        <w:t xml:space="preserve">need for multiple systems to be integrated to complete a single task. </w:t>
      </w:r>
    </w:p>
    <w:p w14:paraId="6FC2B988" w14:textId="2D578368" w:rsidR="3F33B2FE" w:rsidRDefault="3F33B2FE" w:rsidP="00A84F37">
      <w:pPr>
        <w:pStyle w:val="Subtitle"/>
        <w:jc w:val="both"/>
      </w:pPr>
      <w:r w:rsidRPr="4597A70E">
        <w:rPr>
          <w:rFonts w:eastAsia="Calibri"/>
        </w:rPr>
        <w:t xml:space="preserve">With Acumatica, users in the Asphalt industry can connect all aspects of their business, including sales, inventory, materials management, project management, payroll, finance, and service management. This not only increases everyone’s visibility into business processes, but also reduces the need for tedious data entry. </w:t>
      </w:r>
    </w:p>
    <w:p w14:paraId="40E3DDE4" w14:textId="7B5383E9" w:rsidR="74178CF2" w:rsidRDefault="74178CF2" w:rsidP="00A84F37">
      <w:pPr>
        <w:pStyle w:val="Subtitle"/>
        <w:jc w:val="both"/>
      </w:pPr>
      <w:r>
        <w:rPr>
          <w:noProof/>
        </w:rPr>
        <w:drawing>
          <wp:inline distT="0" distB="0" distL="0" distR="0" wp14:anchorId="48339B80" wp14:editId="4F3E8EBD">
            <wp:extent cx="5439966" cy="2928938"/>
            <wp:effectExtent l="0" t="0" r="0" b="0"/>
            <wp:docPr id="99046115" name="Picture 9904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r="1330"/>
                    <a:stretch>
                      <a:fillRect/>
                    </a:stretch>
                  </pic:blipFill>
                  <pic:spPr>
                    <a:xfrm>
                      <a:off x="0" y="0"/>
                      <a:ext cx="5439966" cy="2928938"/>
                    </a:xfrm>
                    <a:prstGeom prst="rect">
                      <a:avLst/>
                    </a:prstGeom>
                  </pic:spPr>
                </pic:pic>
              </a:graphicData>
            </a:graphic>
          </wp:inline>
        </w:drawing>
      </w:r>
    </w:p>
    <w:p w14:paraId="76328AE9" w14:textId="639E3946" w:rsidR="65852728" w:rsidRPr="00A84F37" w:rsidRDefault="65852728" w:rsidP="00A84F37">
      <w:pPr>
        <w:pStyle w:val="Heading2"/>
        <w:rPr>
          <w:b/>
          <w:bCs/>
        </w:rPr>
      </w:pPr>
      <w:r w:rsidRPr="00A84F37">
        <w:rPr>
          <w:b/>
          <w:bCs/>
        </w:rPr>
        <w:t xml:space="preserve">Dashboard and </w:t>
      </w:r>
      <w:r w:rsidR="176B1F27" w:rsidRPr="00A84F37">
        <w:rPr>
          <w:b/>
          <w:bCs/>
        </w:rPr>
        <w:t>R</w:t>
      </w:r>
      <w:r w:rsidRPr="00A84F37">
        <w:rPr>
          <w:b/>
          <w:bCs/>
        </w:rPr>
        <w:t xml:space="preserve">eporting </w:t>
      </w:r>
    </w:p>
    <w:p w14:paraId="4F9BDBBC" w14:textId="1158E847" w:rsidR="4907AD7E" w:rsidRDefault="4907AD7E" w:rsidP="00A84F37">
      <w:pPr>
        <w:pStyle w:val="Subtitle"/>
        <w:jc w:val="both"/>
        <w:rPr>
          <w:rFonts w:eastAsia="Calibri"/>
        </w:rPr>
      </w:pPr>
      <w:r w:rsidRPr="4597A70E">
        <w:rPr>
          <w:rFonts w:eastAsia="Calibri"/>
        </w:rPr>
        <w:t>Every kind of company—</w:t>
      </w:r>
      <w:r w:rsidR="7347FFEE" w:rsidRPr="4597A70E">
        <w:rPr>
          <w:rFonts w:eastAsia="Calibri"/>
        </w:rPr>
        <w:t xml:space="preserve"> construction, financial, </w:t>
      </w:r>
      <w:r w:rsidR="620D5DD9" w:rsidRPr="4597A70E">
        <w:rPr>
          <w:rFonts w:eastAsia="Calibri"/>
        </w:rPr>
        <w:t>manufacturing - relies</w:t>
      </w:r>
      <w:r w:rsidRPr="4597A70E">
        <w:rPr>
          <w:rFonts w:eastAsia="Calibri"/>
        </w:rPr>
        <w:t xml:space="preserve"> on measurements to monitor business activities and performance, document successes and challenges, and help direct management decision-making. Of course, we measure several parameters simply to comply with mandatory accounting and reporting requirements, and smart management will incorporate those measurements into valuable intelligence. </w:t>
      </w:r>
      <w:r w:rsidR="2ED18C28" w:rsidRPr="4597A70E">
        <w:rPr>
          <w:rFonts w:eastAsia="Calibri"/>
        </w:rPr>
        <w:t xml:space="preserve">Specific to </w:t>
      </w:r>
      <w:r w:rsidR="0060410C">
        <w:rPr>
          <w:rFonts w:eastAsia="Calibri"/>
          <w:noProof/>
        </w:rPr>
        <w:lastRenderedPageBreak/>
        <w:drawing>
          <wp:anchor distT="0" distB="0" distL="114300" distR="114300" simplePos="0" relativeHeight="251660288" behindDoc="0" locked="0" layoutInCell="1" allowOverlap="1" wp14:anchorId="44241436" wp14:editId="63092276">
            <wp:simplePos x="0" y="0"/>
            <wp:positionH relativeFrom="margin">
              <wp:posOffset>-28575</wp:posOffset>
            </wp:positionH>
            <wp:positionV relativeFrom="paragraph">
              <wp:posOffset>123825</wp:posOffset>
            </wp:positionV>
            <wp:extent cx="2282190" cy="2095500"/>
            <wp:effectExtent l="0" t="0" r="3810" b="0"/>
            <wp:wrapSquare wrapText="bothSides"/>
            <wp:docPr id="583167866" name="Picture 3"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67866" name="Picture 3" descr="A blue circle with white text&#10;&#10;Description automatically generated"/>
                    <pic:cNvPicPr/>
                  </pic:nvPicPr>
                  <pic:blipFill rotWithShape="1">
                    <a:blip r:embed="rId9" cstate="print">
                      <a:extLst>
                        <a:ext uri="{28A0092B-C50C-407E-A947-70E740481C1C}">
                          <a14:useLocalDpi xmlns:a14="http://schemas.microsoft.com/office/drawing/2010/main" val="0"/>
                        </a:ext>
                      </a:extLst>
                    </a:blip>
                    <a:srcRect l="4681" t="8379" r="7204" b="10727"/>
                    <a:stretch/>
                  </pic:blipFill>
                  <pic:spPr bwMode="auto">
                    <a:xfrm>
                      <a:off x="0" y="0"/>
                      <a:ext cx="2282190" cy="209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ED18C28" w:rsidRPr="4597A70E">
        <w:rPr>
          <w:rFonts w:eastAsia="Calibri"/>
        </w:rPr>
        <w:t xml:space="preserve">the asphalt industry, dashboard and reporting can be built to quickly view metrics on the front screen on Acumatica. </w:t>
      </w:r>
    </w:p>
    <w:p w14:paraId="626360EB" w14:textId="2C90B71C" w:rsidR="2ED18C28" w:rsidRDefault="2ED18C28" w:rsidP="00A84F37">
      <w:pPr>
        <w:pStyle w:val="Subtitle"/>
        <w:jc w:val="both"/>
        <w:rPr>
          <w:rFonts w:eastAsia="Calibri"/>
        </w:rPr>
      </w:pPr>
      <w:r w:rsidRPr="4597A70E">
        <w:rPr>
          <w:rFonts w:eastAsia="Calibri"/>
        </w:rPr>
        <w:t>D</w:t>
      </w:r>
      <w:r w:rsidR="34A31ABD" w:rsidRPr="4597A70E">
        <w:rPr>
          <w:rFonts w:eastAsia="Calibri"/>
        </w:rPr>
        <w:t>ashboards offer drill-down for analysis of the details and can be adapted to provide key measurements to individual departments or functions within the organization, focused on the specific measurements that are important in their individual span of interest.</w:t>
      </w:r>
      <w:r w:rsidR="69490ECE" w:rsidRPr="4597A70E">
        <w:rPr>
          <w:rFonts w:eastAsia="Calibri"/>
        </w:rPr>
        <w:t xml:space="preserve"> In the asphalt industry for example, the project manager may be interested in seeing the active projects or the change order log. See below for an </w:t>
      </w:r>
      <w:r w:rsidR="407FE94C" w:rsidRPr="4597A70E">
        <w:rPr>
          <w:rFonts w:eastAsia="Calibri"/>
        </w:rPr>
        <w:t xml:space="preserve">example: </w:t>
      </w:r>
    </w:p>
    <w:p w14:paraId="6C41DEB8" w14:textId="31924127" w:rsidR="407FE94C" w:rsidRDefault="407FE94C" w:rsidP="00A84F37">
      <w:pPr>
        <w:pStyle w:val="Subtitle"/>
        <w:jc w:val="both"/>
      </w:pPr>
      <w:r>
        <w:rPr>
          <w:noProof/>
        </w:rPr>
        <w:drawing>
          <wp:inline distT="0" distB="0" distL="0" distR="0" wp14:anchorId="6FCF900A" wp14:editId="0C190DCB">
            <wp:extent cx="6171420" cy="3767138"/>
            <wp:effectExtent l="0" t="0" r="0" b="0"/>
            <wp:docPr id="1755414244" name="Picture 175541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1420" cy="3767138"/>
                    </a:xfrm>
                    <a:prstGeom prst="rect">
                      <a:avLst/>
                    </a:prstGeom>
                  </pic:spPr>
                </pic:pic>
              </a:graphicData>
            </a:graphic>
          </wp:inline>
        </w:drawing>
      </w:r>
    </w:p>
    <w:p w14:paraId="055870BA" w14:textId="6AD0597C" w:rsidR="0A0990BD" w:rsidRDefault="0A0990BD" w:rsidP="00A84F37">
      <w:pPr>
        <w:pStyle w:val="Subtitle"/>
        <w:jc w:val="both"/>
        <w:rPr>
          <w:rFonts w:eastAsia="Calibri"/>
        </w:rPr>
      </w:pPr>
      <w:r w:rsidRPr="20B1AC97">
        <w:rPr>
          <w:rFonts w:eastAsia="Calibri"/>
        </w:rPr>
        <w:t xml:space="preserve">Reporting in Acumatica is a vital tool to see the data in one big picture. Acumatica comes with over 250 reports out of the box which can give users a great start to running </w:t>
      </w:r>
      <w:r w:rsidR="3C657B48" w:rsidRPr="20B1AC97">
        <w:rPr>
          <w:rFonts w:eastAsia="Calibri"/>
        </w:rPr>
        <w:t>reports</w:t>
      </w:r>
      <w:r w:rsidRPr="20B1AC97">
        <w:rPr>
          <w:rFonts w:eastAsia="Calibri"/>
        </w:rPr>
        <w:t xml:space="preserve"> withou</w:t>
      </w:r>
      <w:r w:rsidR="29B5EA3E" w:rsidRPr="20B1AC97">
        <w:rPr>
          <w:rFonts w:eastAsia="Calibri"/>
        </w:rPr>
        <w:t>t any add-ons. These reports are configurable to your industry data</w:t>
      </w:r>
      <w:r w:rsidR="026D0545" w:rsidRPr="20B1AC97">
        <w:rPr>
          <w:rFonts w:eastAsia="Calibri"/>
        </w:rPr>
        <w:t xml:space="preserve">. </w:t>
      </w:r>
      <w:r w:rsidR="0BCCED56" w:rsidRPr="20B1AC97">
        <w:rPr>
          <w:rFonts w:eastAsia="Calibri"/>
        </w:rPr>
        <w:t>The data in dashboard</w:t>
      </w:r>
      <w:r w:rsidR="7D0ED324" w:rsidRPr="20B1AC97">
        <w:rPr>
          <w:rFonts w:eastAsia="Calibri"/>
        </w:rPr>
        <w:t xml:space="preserve">s </w:t>
      </w:r>
      <w:r w:rsidR="0BCCED56" w:rsidRPr="20B1AC97">
        <w:rPr>
          <w:rFonts w:eastAsia="Calibri"/>
        </w:rPr>
        <w:t xml:space="preserve">and reporting is in real-time making these </w:t>
      </w:r>
      <w:r w:rsidR="76A83CC0" w:rsidRPr="20B1AC97">
        <w:rPr>
          <w:rFonts w:eastAsia="Calibri"/>
        </w:rPr>
        <w:t>analytics</w:t>
      </w:r>
      <w:r w:rsidR="0BCCED56" w:rsidRPr="20B1AC97">
        <w:rPr>
          <w:rFonts w:eastAsia="Calibri"/>
        </w:rPr>
        <w:t xml:space="preserve"> </w:t>
      </w:r>
      <w:r w:rsidR="369977DB" w:rsidRPr="20B1AC97">
        <w:rPr>
          <w:rFonts w:eastAsia="Calibri"/>
        </w:rPr>
        <w:t>up to date</w:t>
      </w:r>
      <w:r w:rsidR="0BCCED56" w:rsidRPr="20B1AC97">
        <w:rPr>
          <w:rFonts w:eastAsia="Calibri"/>
        </w:rPr>
        <w:t xml:space="preserve"> for those who need to see them</w:t>
      </w:r>
      <w:r w:rsidR="4925663C" w:rsidRPr="20B1AC97">
        <w:rPr>
          <w:rFonts w:eastAsia="Calibri"/>
        </w:rPr>
        <w:t xml:space="preserve">. </w:t>
      </w:r>
      <w:r w:rsidR="0BCCED56" w:rsidRPr="20B1AC97">
        <w:rPr>
          <w:rFonts w:eastAsia="Calibri"/>
        </w:rPr>
        <w:t xml:space="preserve"> </w:t>
      </w:r>
    </w:p>
    <w:p w14:paraId="1C38502F" w14:textId="1D1F7328" w:rsidR="05FCCEB9" w:rsidRPr="00A84F37" w:rsidRDefault="796352A9" w:rsidP="00386240">
      <w:pPr>
        <w:pStyle w:val="Heading2"/>
        <w:spacing w:line="360" w:lineRule="auto"/>
        <w:rPr>
          <w:rFonts w:eastAsia="Calibri"/>
          <w:b/>
          <w:bCs/>
        </w:rPr>
      </w:pPr>
      <w:r w:rsidRPr="00A84F37">
        <w:rPr>
          <w:rFonts w:eastAsia="Calibri"/>
          <w:b/>
          <w:bCs/>
        </w:rPr>
        <w:t>Benefits of Acumatica for your Asphalt Business</w:t>
      </w:r>
    </w:p>
    <w:p w14:paraId="6A06329C" w14:textId="32BC0BD5" w:rsidR="4DFB4111" w:rsidRDefault="796352A9" w:rsidP="00A84F37">
      <w:pPr>
        <w:pStyle w:val="Subtitle"/>
        <w:jc w:val="both"/>
        <w:rPr>
          <w:rFonts w:eastAsia="Calibri"/>
        </w:rPr>
      </w:pPr>
      <w:r w:rsidRPr="4597A70E">
        <w:rPr>
          <w:rFonts w:eastAsia="Calibri"/>
        </w:rPr>
        <w:t xml:space="preserve">With Acumatica, users in the asphalt industry </w:t>
      </w:r>
      <w:r w:rsidR="397C0EE0" w:rsidRPr="4597A70E">
        <w:rPr>
          <w:rFonts w:eastAsia="Calibri"/>
        </w:rPr>
        <w:t>can</w:t>
      </w:r>
      <w:r w:rsidR="78016791" w:rsidRPr="4597A70E">
        <w:rPr>
          <w:rFonts w:eastAsia="Calibri"/>
        </w:rPr>
        <w:t xml:space="preserve"> automate and simplify several of their business processes. </w:t>
      </w:r>
      <w:r w:rsidRPr="4597A70E">
        <w:rPr>
          <w:rFonts w:eastAsia="Calibri"/>
        </w:rPr>
        <w:t xml:space="preserve"> </w:t>
      </w:r>
      <w:r w:rsidR="39CB4B0A" w:rsidRPr="4597A70E">
        <w:rPr>
          <w:rFonts w:eastAsia="Calibri"/>
        </w:rPr>
        <w:t>Project budgeting, inventory and change orders are easily managed in</w:t>
      </w:r>
      <w:r w:rsidR="085151D1" w:rsidRPr="4597A70E">
        <w:rPr>
          <w:rFonts w:eastAsia="Calibri"/>
        </w:rPr>
        <w:t xml:space="preserve"> a single system</w:t>
      </w:r>
      <w:r w:rsidR="39CB4B0A" w:rsidRPr="4597A70E">
        <w:rPr>
          <w:rFonts w:eastAsia="Calibri"/>
        </w:rPr>
        <w:t xml:space="preserve"> making the process for project quoting and invoicing revamped and </w:t>
      </w:r>
      <w:r w:rsidR="39CB4B0A" w:rsidRPr="4597A70E">
        <w:rPr>
          <w:rFonts w:eastAsia="Calibri"/>
        </w:rPr>
        <w:lastRenderedPageBreak/>
        <w:t>sim</w:t>
      </w:r>
      <w:r w:rsidR="4E2FDDCB" w:rsidRPr="4597A70E">
        <w:rPr>
          <w:rFonts w:eastAsia="Calibri"/>
        </w:rPr>
        <w:t xml:space="preserve">plified. The integration of timesheets and billing allows companies to bill faster, changing </w:t>
      </w:r>
      <w:r w:rsidR="7BF86EA0" w:rsidRPr="4597A70E">
        <w:rPr>
          <w:rFonts w:eastAsia="Calibri"/>
        </w:rPr>
        <w:t>the length of time it takes to get paid. Acumatica’s embedded dashboard</w:t>
      </w:r>
      <w:r w:rsidR="146C3465" w:rsidRPr="4597A70E">
        <w:rPr>
          <w:rFonts w:eastAsia="Calibri"/>
        </w:rPr>
        <w:t>s</w:t>
      </w:r>
      <w:r w:rsidR="7BF86EA0" w:rsidRPr="4597A70E">
        <w:rPr>
          <w:rFonts w:eastAsia="Calibri"/>
        </w:rPr>
        <w:t>, reporting</w:t>
      </w:r>
      <w:r w:rsidR="4C448098" w:rsidRPr="4597A70E">
        <w:rPr>
          <w:rFonts w:eastAsia="Calibri"/>
        </w:rPr>
        <w:t xml:space="preserve">, and inquiries bring the system together with real-time analytics for those who need them. </w:t>
      </w:r>
    </w:p>
    <w:p w14:paraId="744B5292" w14:textId="52CB8591" w:rsidR="4DFB4111" w:rsidRPr="00A84F37" w:rsidRDefault="4DFB4111" w:rsidP="0060410C">
      <w:pPr>
        <w:pStyle w:val="Heading2"/>
        <w:spacing w:line="360" w:lineRule="auto"/>
        <w:rPr>
          <w:rFonts w:eastAsia="Calibri"/>
          <w:b/>
          <w:bCs/>
        </w:rPr>
      </w:pPr>
      <w:r w:rsidRPr="00A84F37">
        <w:rPr>
          <w:rFonts w:eastAsia="Calibri"/>
          <w:b/>
          <w:bCs/>
        </w:rPr>
        <w:t xml:space="preserve">Take the Next Steps Toward a New ERP </w:t>
      </w:r>
    </w:p>
    <w:p w14:paraId="6777CA33" w14:textId="44A07A5C" w:rsidR="0FE5E389" w:rsidRDefault="00386240" w:rsidP="00A84F37">
      <w:pPr>
        <w:pStyle w:val="Subtitle"/>
        <w:jc w:val="both"/>
        <w:rPr>
          <w:rFonts w:eastAsia="Calibri"/>
        </w:rPr>
      </w:pPr>
      <w:r>
        <w:rPr>
          <w:rFonts w:eastAsia="Calibri"/>
          <w:noProof/>
        </w:rPr>
        <w:drawing>
          <wp:anchor distT="0" distB="0" distL="114300" distR="114300" simplePos="0" relativeHeight="251661312" behindDoc="1" locked="0" layoutInCell="1" allowOverlap="1" wp14:anchorId="0C62F37F" wp14:editId="58918B63">
            <wp:simplePos x="0" y="0"/>
            <wp:positionH relativeFrom="margin">
              <wp:align>left</wp:align>
            </wp:positionH>
            <wp:positionV relativeFrom="paragraph">
              <wp:posOffset>12700</wp:posOffset>
            </wp:positionV>
            <wp:extent cx="1685925" cy="1050925"/>
            <wp:effectExtent l="0" t="0" r="9525" b="0"/>
            <wp:wrapTight wrapText="bothSides">
              <wp:wrapPolygon edited="0">
                <wp:start x="0" y="0"/>
                <wp:lineTo x="0" y="21143"/>
                <wp:lineTo x="21478" y="21143"/>
                <wp:lineTo x="21478" y="0"/>
                <wp:lineTo x="0" y="0"/>
              </wp:wrapPolygon>
            </wp:wrapTight>
            <wp:docPr id="12590103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1035" name="Picture 4" descr="A close-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515" t="19072" r="515" b="18557"/>
                    <a:stretch/>
                  </pic:blipFill>
                  <pic:spPr bwMode="auto">
                    <a:xfrm>
                      <a:off x="0" y="0"/>
                      <a:ext cx="1685925" cy="1050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FE5E389" w:rsidRPr="20B1AC97">
        <w:rPr>
          <w:rFonts w:eastAsia="Calibri"/>
        </w:rPr>
        <w:t xml:space="preserve">If your company is ready to take the next steps and see how Acumatica is suited for the asphalt industry, do not stop here. Acumatica is an all-in-one accounting and project package that will connect users in the field and your office staff. </w:t>
      </w:r>
    </w:p>
    <w:p w14:paraId="2E8C5139" w14:textId="0706A6D3" w:rsidR="0FE5E389" w:rsidRDefault="0FE5E389" w:rsidP="00A84F37">
      <w:pPr>
        <w:pStyle w:val="Subtitle"/>
        <w:jc w:val="both"/>
        <w:rPr>
          <w:rFonts w:eastAsia="Calibri"/>
        </w:rPr>
      </w:pPr>
      <w:r w:rsidRPr="20B1AC97">
        <w:rPr>
          <w:rFonts w:eastAsia="Calibri"/>
        </w:rPr>
        <w:t xml:space="preserve">To learn more about Acumatica and request a free demo – visit us online! </w:t>
      </w:r>
    </w:p>
    <w:p w14:paraId="5D38EBB4" w14:textId="09622F10" w:rsidR="0FE5E389" w:rsidRDefault="0FE5E389" w:rsidP="00A84F37">
      <w:pPr>
        <w:pStyle w:val="Subtitle"/>
        <w:jc w:val="both"/>
        <w:rPr>
          <w:rFonts w:eastAsia="Calibri"/>
        </w:rPr>
      </w:pPr>
      <w:r w:rsidRPr="20B1AC97">
        <w:rPr>
          <w:rFonts w:eastAsia="Calibri"/>
        </w:rPr>
        <w:t xml:space="preserve">Polaris Business Solutions would love to help you find the right ERP system to suit your needs for your asphalt business. You can find more helpful information about Acumatica, Polaris Business Solutions and more at </w:t>
      </w:r>
      <w:hyperlink r:id="rId12">
        <w:r w:rsidRPr="20B1AC97">
          <w:rPr>
            <w:rStyle w:val="Hyperlink"/>
            <w:rFonts w:ascii="Calibri" w:eastAsia="Calibri" w:hAnsi="Calibri" w:cs="Calibri"/>
          </w:rPr>
          <w:t>www.polaris-business.com</w:t>
        </w:r>
      </w:hyperlink>
      <w:r w:rsidRPr="20B1AC97">
        <w:rPr>
          <w:rFonts w:eastAsia="Calibri"/>
        </w:rPr>
        <w:t>.</w:t>
      </w:r>
    </w:p>
    <w:p w14:paraId="73005BC7" w14:textId="2CC4A3B2" w:rsidR="20B1AC97" w:rsidRDefault="20B1AC97" w:rsidP="20B1AC97">
      <w:pPr>
        <w:rPr>
          <w:rFonts w:ascii="Calibri" w:eastAsia="Calibri" w:hAnsi="Calibri" w:cs="Calibri"/>
          <w:color w:val="000000" w:themeColor="text1"/>
        </w:rPr>
      </w:pPr>
    </w:p>
    <w:p w14:paraId="77FD183C" w14:textId="0172366C" w:rsidR="05FCCEB9" w:rsidRDefault="05FCCEB9" w:rsidP="05FCCEB9">
      <w:pPr>
        <w:contextualSpacing/>
      </w:pPr>
    </w:p>
    <w:sectPr w:rsidR="05FCC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94EC6"/>
    <w:multiLevelType w:val="hybridMultilevel"/>
    <w:tmpl w:val="8E4A3A98"/>
    <w:lvl w:ilvl="0" w:tplc="5AF003C0">
      <w:start w:val="1"/>
      <w:numFmt w:val="bullet"/>
      <w:lvlText w:val=""/>
      <w:lvlJc w:val="left"/>
      <w:pPr>
        <w:ind w:left="720" w:hanging="360"/>
      </w:pPr>
      <w:rPr>
        <w:rFonts w:ascii="Symbol" w:hAnsi="Symbol" w:hint="default"/>
      </w:rPr>
    </w:lvl>
    <w:lvl w:ilvl="1" w:tplc="56AA139E">
      <w:start w:val="1"/>
      <w:numFmt w:val="bullet"/>
      <w:lvlText w:val="o"/>
      <w:lvlJc w:val="left"/>
      <w:pPr>
        <w:ind w:left="1440" w:hanging="360"/>
      </w:pPr>
      <w:rPr>
        <w:rFonts w:ascii="Courier New" w:hAnsi="Courier New" w:hint="default"/>
      </w:rPr>
    </w:lvl>
    <w:lvl w:ilvl="2" w:tplc="0D8E76A8">
      <w:start w:val="1"/>
      <w:numFmt w:val="bullet"/>
      <w:lvlText w:val=""/>
      <w:lvlJc w:val="left"/>
      <w:pPr>
        <w:ind w:left="2160" w:hanging="360"/>
      </w:pPr>
      <w:rPr>
        <w:rFonts w:ascii="Wingdings" w:hAnsi="Wingdings" w:hint="default"/>
      </w:rPr>
    </w:lvl>
    <w:lvl w:ilvl="3" w:tplc="940E89EC">
      <w:start w:val="1"/>
      <w:numFmt w:val="bullet"/>
      <w:lvlText w:val=""/>
      <w:lvlJc w:val="left"/>
      <w:pPr>
        <w:ind w:left="2880" w:hanging="360"/>
      </w:pPr>
      <w:rPr>
        <w:rFonts w:ascii="Symbol" w:hAnsi="Symbol" w:hint="default"/>
      </w:rPr>
    </w:lvl>
    <w:lvl w:ilvl="4" w:tplc="AD6A40E2">
      <w:start w:val="1"/>
      <w:numFmt w:val="bullet"/>
      <w:lvlText w:val="o"/>
      <w:lvlJc w:val="left"/>
      <w:pPr>
        <w:ind w:left="3600" w:hanging="360"/>
      </w:pPr>
      <w:rPr>
        <w:rFonts w:ascii="Courier New" w:hAnsi="Courier New" w:hint="default"/>
      </w:rPr>
    </w:lvl>
    <w:lvl w:ilvl="5" w:tplc="93D02920">
      <w:start w:val="1"/>
      <w:numFmt w:val="bullet"/>
      <w:lvlText w:val=""/>
      <w:lvlJc w:val="left"/>
      <w:pPr>
        <w:ind w:left="4320" w:hanging="360"/>
      </w:pPr>
      <w:rPr>
        <w:rFonts w:ascii="Wingdings" w:hAnsi="Wingdings" w:hint="default"/>
      </w:rPr>
    </w:lvl>
    <w:lvl w:ilvl="6" w:tplc="21565DB4">
      <w:start w:val="1"/>
      <w:numFmt w:val="bullet"/>
      <w:lvlText w:val=""/>
      <w:lvlJc w:val="left"/>
      <w:pPr>
        <w:ind w:left="5040" w:hanging="360"/>
      </w:pPr>
      <w:rPr>
        <w:rFonts w:ascii="Symbol" w:hAnsi="Symbol" w:hint="default"/>
      </w:rPr>
    </w:lvl>
    <w:lvl w:ilvl="7" w:tplc="2F66AFCC">
      <w:start w:val="1"/>
      <w:numFmt w:val="bullet"/>
      <w:lvlText w:val="o"/>
      <w:lvlJc w:val="left"/>
      <w:pPr>
        <w:ind w:left="5760" w:hanging="360"/>
      </w:pPr>
      <w:rPr>
        <w:rFonts w:ascii="Courier New" w:hAnsi="Courier New" w:hint="default"/>
      </w:rPr>
    </w:lvl>
    <w:lvl w:ilvl="8" w:tplc="D0446DF8">
      <w:start w:val="1"/>
      <w:numFmt w:val="bullet"/>
      <w:lvlText w:val=""/>
      <w:lvlJc w:val="left"/>
      <w:pPr>
        <w:ind w:left="6480" w:hanging="360"/>
      </w:pPr>
      <w:rPr>
        <w:rFonts w:ascii="Wingdings" w:hAnsi="Wingdings" w:hint="default"/>
      </w:rPr>
    </w:lvl>
  </w:abstractNum>
  <w:abstractNum w:abstractNumId="1" w15:restartNumberingAfterBreak="0">
    <w:nsid w:val="74F89570"/>
    <w:multiLevelType w:val="hybridMultilevel"/>
    <w:tmpl w:val="1FA2E1F2"/>
    <w:lvl w:ilvl="0" w:tplc="8ACE9A74">
      <w:start w:val="1"/>
      <w:numFmt w:val="bullet"/>
      <w:lvlText w:val=""/>
      <w:lvlJc w:val="left"/>
      <w:pPr>
        <w:ind w:left="720" w:hanging="360"/>
      </w:pPr>
      <w:rPr>
        <w:rFonts w:ascii="Symbol" w:hAnsi="Symbol" w:hint="default"/>
      </w:rPr>
    </w:lvl>
    <w:lvl w:ilvl="1" w:tplc="030C2644">
      <w:start w:val="1"/>
      <w:numFmt w:val="bullet"/>
      <w:lvlText w:val="o"/>
      <w:lvlJc w:val="left"/>
      <w:pPr>
        <w:ind w:left="1440" w:hanging="360"/>
      </w:pPr>
      <w:rPr>
        <w:rFonts w:ascii="Courier New" w:hAnsi="Courier New" w:hint="default"/>
      </w:rPr>
    </w:lvl>
    <w:lvl w:ilvl="2" w:tplc="78A25C58">
      <w:start w:val="1"/>
      <w:numFmt w:val="bullet"/>
      <w:lvlText w:val=""/>
      <w:lvlJc w:val="left"/>
      <w:pPr>
        <w:ind w:left="2160" w:hanging="360"/>
      </w:pPr>
      <w:rPr>
        <w:rFonts w:ascii="Wingdings" w:hAnsi="Wingdings" w:hint="default"/>
      </w:rPr>
    </w:lvl>
    <w:lvl w:ilvl="3" w:tplc="3884A0E6">
      <w:start w:val="1"/>
      <w:numFmt w:val="bullet"/>
      <w:lvlText w:val=""/>
      <w:lvlJc w:val="left"/>
      <w:pPr>
        <w:ind w:left="2880" w:hanging="360"/>
      </w:pPr>
      <w:rPr>
        <w:rFonts w:ascii="Symbol" w:hAnsi="Symbol" w:hint="default"/>
      </w:rPr>
    </w:lvl>
    <w:lvl w:ilvl="4" w:tplc="46AEE5BC">
      <w:start w:val="1"/>
      <w:numFmt w:val="bullet"/>
      <w:lvlText w:val="o"/>
      <w:lvlJc w:val="left"/>
      <w:pPr>
        <w:ind w:left="3600" w:hanging="360"/>
      </w:pPr>
      <w:rPr>
        <w:rFonts w:ascii="Courier New" w:hAnsi="Courier New" w:hint="default"/>
      </w:rPr>
    </w:lvl>
    <w:lvl w:ilvl="5" w:tplc="0A50012C">
      <w:start w:val="1"/>
      <w:numFmt w:val="bullet"/>
      <w:lvlText w:val=""/>
      <w:lvlJc w:val="left"/>
      <w:pPr>
        <w:ind w:left="4320" w:hanging="360"/>
      </w:pPr>
      <w:rPr>
        <w:rFonts w:ascii="Wingdings" w:hAnsi="Wingdings" w:hint="default"/>
      </w:rPr>
    </w:lvl>
    <w:lvl w:ilvl="6" w:tplc="47C2350A">
      <w:start w:val="1"/>
      <w:numFmt w:val="bullet"/>
      <w:lvlText w:val=""/>
      <w:lvlJc w:val="left"/>
      <w:pPr>
        <w:ind w:left="5040" w:hanging="360"/>
      </w:pPr>
      <w:rPr>
        <w:rFonts w:ascii="Symbol" w:hAnsi="Symbol" w:hint="default"/>
      </w:rPr>
    </w:lvl>
    <w:lvl w:ilvl="7" w:tplc="49C22222">
      <w:start w:val="1"/>
      <w:numFmt w:val="bullet"/>
      <w:lvlText w:val="o"/>
      <w:lvlJc w:val="left"/>
      <w:pPr>
        <w:ind w:left="5760" w:hanging="360"/>
      </w:pPr>
      <w:rPr>
        <w:rFonts w:ascii="Courier New" w:hAnsi="Courier New" w:hint="default"/>
      </w:rPr>
    </w:lvl>
    <w:lvl w:ilvl="8" w:tplc="BB52D2E4">
      <w:start w:val="1"/>
      <w:numFmt w:val="bullet"/>
      <w:lvlText w:val=""/>
      <w:lvlJc w:val="left"/>
      <w:pPr>
        <w:ind w:left="6480" w:hanging="360"/>
      </w:pPr>
      <w:rPr>
        <w:rFonts w:ascii="Wingdings" w:hAnsi="Wingdings" w:hint="default"/>
      </w:rPr>
    </w:lvl>
  </w:abstractNum>
  <w:abstractNum w:abstractNumId="2" w15:restartNumberingAfterBreak="0">
    <w:nsid w:val="7770E17F"/>
    <w:multiLevelType w:val="hybridMultilevel"/>
    <w:tmpl w:val="10B095B6"/>
    <w:lvl w:ilvl="0" w:tplc="DF38F230">
      <w:start w:val="1"/>
      <w:numFmt w:val="bullet"/>
      <w:lvlText w:val=""/>
      <w:lvlJc w:val="left"/>
      <w:pPr>
        <w:ind w:left="720" w:hanging="360"/>
      </w:pPr>
      <w:rPr>
        <w:rFonts w:ascii="Symbol" w:hAnsi="Symbol" w:hint="default"/>
      </w:rPr>
    </w:lvl>
    <w:lvl w:ilvl="1" w:tplc="A7B0B83E">
      <w:start w:val="1"/>
      <w:numFmt w:val="bullet"/>
      <w:lvlText w:val="o"/>
      <w:lvlJc w:val="left"/>
      <w:pPr>
        <w:ind w:left="1440" w:hanging="360"/>
      </w:pPr>
      <w:rPr>
        <w:rFonts w:ascii="Courier New" w:hAnsi="Courier New" w:hint="default"/>
      </w:rPr>
    </w:lvl>
    <w:lvl w:ilvl="2" w:tplc="D5C20E2E">
      <w:start w:val="1"/>
      <w:numFmt w:val="bullet"/>
      <w:lvlText w:val=""/>
      <w:lvlJc w:val="left"/>
      <w:pPr>
        <w:ind w:left="2160" w:hanging="360"/>
      </w:pPr>
      <w:rPr>
        <w:rFonts w:ascii="Wingdings" w:hAnsi="Wingdings" w:hint="default"/>
      </w:rPr>
    </w:lvl>
    <w:lvl w:ilvl="3" w:tplc="53EE3BD6">
      <w:start w:val="1"/>
      <w:numFmt w:val="bullet"/>
      <w:lvlText w:val=""/>
      <w:lvlJc w:val="left"/>
      <w:pPr>
        <w:ind w:left="2880" w:hanging="360"/>
      </w:pPr>
      <w:rPr>
        <w:rFonts w:ascii="Symbol" w:hAnsi="Symbol" w:hint="default"/>
      </w:rPr>
    </w:lvl>
    <w:lvl w:ilvl="4" w:tplc="0A4EC01A">
      <w:start w:val="1"/>
      <w:numFmt w:val="bullet"/>
      <w:lvlText w:val="o"/>
      <w:lvlJc w:val="left"/>
      <w:pPr>
        <w:ind w:left="3600" w:hanging="360"/>
      </w:pPr>
      <w:rPr>
        <w:rFonts w:ascii="Courier New" w:hAnsi="Courier New" w:hint="default"/>
      </w:rPr>
    </w:lvl>
    <w:lvl w:ilvl="5" w:tplc="3F7AAFEA">
      <w:start w:val="1"/>
      <w:numFmt w:val="bullet"/>
      <w:lvlText w:val=""/>
      <w:lvlJc w:val="left"/>
      <w:pPr>
        <w:ind w:left="4320" w:hanging="360"/>
      </w:pPr>
      <w:rPr>
        <w:rFonts w:ascii="Wingdings" w:hAnsi="Wingdings" w:hint="default"/>
      </w:rPr>
    </w:lvl>
    <w:lvl w:ilvl="6" w:tplc="31A4CBE6">
      <w:start w:val="1"/>
      <w:numFmt w:val="bullet"/>
      <w:lvlText w:val=""/>
      <w:lvlJc w:val="left"/>
      <w:pPr>
        <w:ind w:left="5040" w:hanging="360"/>
      </w:pPr>
      <w:rPr>
        <w:rFonts w:ascii="Symbol" w:hAnsi="Symbol" w:hint="default"/>
      </w:rPr>
    </w:lvl>
    <w:lvl w:ilvl="7" w:tplc="E87A2432">
      <w:start w:val="1"/>
      <w:numFmt w:val="bullet"/>
      <w:lvlText w:val="o"/>
      <w:lvlJc w:val="left"/>
      <w:pPr>
        <w:ind w:left="5760" w:hanging="360"/>
      </w:pPr>
      <w:rPr>
        <w:rFonts w:ascii="Courier New" w:hAnsi="Courier New" w:hint="default"/>
      </w:rPr>
    </w:lvl>
    <w:lvl w:ilvl="8" w:tplc="D7E069EA">
      <w:start w:val="1"/>
      <w:numFmt w:val="bullet"/>
      <w:lvlText w:val=""/>
      <w:lvlJc w:val="left"/>
      <w:pPr>
        <w:ind w:left="6480" w:hanging="360"/>
      </w:pPr>
      <w:rPr>
        <w:rFonts w:ascii="Wingdings" w:hAnsi="Wingdings" w:hint="default"/>
      </w:rPr>
    </w:lvl>
  </w:abstractNum>
  <w:num w:numId="1" w16cid:durableId="1240753368">
    <w:abstractNumId w:val="2"/>
  </w:num>
  <w:num w:numId="2" w16cid:durableId="2066447388">
    <w:abstractNumId w:val="1"/>
  </w:num>
  <w:num w:numId="3" w16cid:durableId="143697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116DC"/>
    <w:rsid w:val="000E5C44"/>
    <w:rsid w:val="00386240"/>
    <w:rsid w:val="0047C247"/>
    <w:rsid w:val="005F403C"/>
    <w:rsid w:val="0060410C"/>
    <w:rsid w:val="00876ECC"/>
    <w:rsid w:val="0089123B"/>
    <w:rsid w:val="00A84F37"/>
    <w:rsid w:val="00C45A2B"/>
    <w:rsid w:val="00E4782D"/>
    <w:rsid w:val="01180BCF"/>
    <w:rsid w:val="01CF2404"/>
    <w:rsid w:val="026D0545"/>
    <w:rsid w:val="0289B80F"/>
    <w:rsid w:val="02F80FF4"/>
    <w:rsid w:val="038B03A1"/>
    <w:rsid w:val="03B819C4"/>
    <w:rsid w:val="04258870"/>
    <w:rsid w:val="05C9325A"/>
    <w:rsid w:val="05FCCEB9"/>
    <w:rsid w:val="071C5130"/>
    <w:rsid w:val="085151D1"/>
    <w:rsid w:val="08DA7232"/>
    <w:rsid w:val="090109C9"/>
    <w:rsid w:val="09C10D8C"/>
    <w:rsid w:val="0A0990BD"/>
    <w:rsid w:val="0BCCED56"/>
    <w:rsid w:val="0C01111A"/>
    <w:rsid w:val="0C1212F4"/>
    <w:rsid w:val="0C5DDA15"/>
    <w:rsid w:val="0CE0B95D"/>
    <w:rsid w:val="0D93210F"/>
    <w:rsid w:val="0E2EC295"/>
    <w:rsid w:val="0EBCD878"/>
    <w:rsid w:val="0F517EC2"/>
    <w:rsid w:val="0F8AF89A"/>
    <w:rsid w:val="0FCA92F6"/>
    <w:rsid w:val="0FE5E389"/>
    <w:rsid w:val="10304F10"/>
    <w:rsid w:val="1059A784"/>
    <w:rsid w:val="10DEA16A"/>
    <w:rsid w:val="121D43BF"/>
    <w:rsid w:val="12721C77"/>
    <w:rsid w:val="130FD715"/>
    <w:rsid w:val="133C29EF"/>
    <w:rsid w:val="134F743E"/>
    <w:rsid w:val="13EA2777"/>
    <w:rsid w:val="13F381B1"/>
    <w:rsid w:val="146C3465"/>
    <w:rsid w:val="148F3C0C"/>
    <w:rsid w:val="150C6C9C"/>
    <w:rsid w:val="155F9C46"/>
    <w:rsid w:val="15DD139B"/>
    <w:rsid w:val="166ED46C"/>
    <w:rsid w:val="16A9C51A"/>
    <w:rsid w:val="176B1F27"/>
    <w:rsid w:val="1914B45D"/>
    <w:rsid w:val="192334C0"/>
    <w:rsid w:val="1976A03B"/>
    <w:rsid w:val="1A5B207C"/>
    <w:rsid w:val="1B44034A"/>
    <w:rsid w:val="1C9ACCDF"/>
    <w:rsid w:val="1D59F3C0"/>
    <w:rsid w:val="1DC375F6"/>
    <w:rsid w:val="1DF6A5E3"/>
    <w:rsid w:val="1EB0321F"/>
    <w:rsid w:val="1F3A09F2"/>
    <w:rsid w:val="1F519EDE"/>
    <w:rsid w:val="20B1AC97"/>
    <w:rsid w:val="20D479B3"/>
    <w:rsid w:val="21F61EF5"/>
    <w:rsid w:val="21F7B3D0"/>
    <w:rsid w:val="224A093E"/>
    <w:rsid w:val="2263009B"/>
    <w:rsid w:val="231D8281"/>
    <w:rsid w:val="23570EE3"/>
    <w:rsid w:val="2461220A"/>
    <w:rsid w:val="2496CB22"/>
    <w:rsid w:val="24AD8E46"/>
    <w:rsid w:val="2509DC92"/>
    <w:rsid w:val="25231A1F"/>
    <w:rsid w:val="25931D56"/>
    <w:rsid w:val="25FF1ABD"/>
    <w:rsid w:val="2757B57B"/>
    <w:rsid w:val="27E4EE1E"/>
    <w:rsid w:val="28ACAB57"/>
    <w:rsid w:val="29B5EA3E"/>
    <w:rsid w:val="2AE6A7B9"/>
    <w:rsid w:val="2AE90599"/>
    <w:rsid w:val="2B0F6C09"/>
    <w:rsid w:val="2C01CE36"/>
    <w:rsid w:val="2CA94D11"/>
    <w:rsid w:val="2D01D68C"/>
    <w:rsid w:val="2ECE436F"/>
    <w:rsid w:val="2ED18C28"/>
    <w:rsid w:val="2EED1EA7"/>
    <w:rsid w:val="2F285B46"/>
    <w:rsid w:val="2F52A651"/>
    <w:rsid w:val="2F5B4D15"/>
    <w:rsid w:val="2F906AEE"/>
    <w:rsid w:val="2FF397A8"/>
    <w:rsid w:val="306A13D0"/>
    <w:rsid w:val="30E76877"/>
    <w:rsid w:val="3158471D"/>
    <w:rsid w:val="318CABD6"/>
    <w:rsid w:val="324A4B5C"/>
    <w:rsid w:val="327841A4"/>
    <w:rsid w:val="32C80BB0"/>
    <w:rsid w:val="3336BFA1"/>
    <w:rsid w:val="3384452B"/>
    <w:rsid w:val="341116DC"/>
    <w:rsid w:val="34A31ABD"/>
    <w:rsid w:val="354A9FFE"/>
    <w:rsid w:val="358A2099"/>
    <w:rsid w:val="35E39DA4"/>
    <w:rsid w:val="369977DB"/>
    <w:rsid w:val="36A6262A"/>
    <w:rsid w:val="36B1D193"/>
    <w:rsid w:val="37C810F6"/>
    <w:rsid w:val="3833B030"/>
    <w:rsid w:val="38837F0D"/>
    <w:rsid w:val="39288113"/>
    <w:rsid w:val="397C0EE0"/>
    <w:rsid w:val="39CB4B0A"/>
    <w:rsid w:val="3B2D7D59"/>
    <w:rsid w:val="3B3AE11A"/>
    <w:rsid w:val="3B6709BB"/>
    <w:rsid w:val="3B6C1A59"/>
    <w:rsid w:val="3C657B48"/>
    <w:rsid w:val="3D07EABA"/>
    <w:rsid w:val="3D27CE6D"/>
    <w:rsid w:val="3D9D441B"/>
    <w:rsid w:val="3E1D12FF"/>
    <w:rsid w:val="3EF8C2B0"/>
    <w:rsid w:val="3F33B2FE"/>
    <w:rsid w:val="3FBB653A"/>
    <w:rsid w:val="403F8B7C"/>
    <w:rsid w:val="405421FF"/>
    <w:rsid w:val="407FE94C"/>
    <w:rsid w:val="40E23CF7"/>
    <w:rsid w:val="40E644C7"/>
    <w:rsid w:val="410123A9"/>
    <w:rsid w:val="419CBEDD"/>
    <w:rsid w:val="41BECCA4"/>
    <w:rsid w:val="420D7528"/>
    <w:rsid w:val="4249057D"/>
    <w:rsid w:val="4264ED83"/>
    <w:rsid w:val="42A54137"/>
    <w:rsid w:val="434BF0D5"/>
    <w:rsid w:val="438D1368"/>
    <w:rsid w:val="44711119"/>
    <w:rsid w:val="44F836F5"/>
    <w:rsid w:val="454EDBD7"/>
    <w:rsid w:val="45769A6F"/>
    <w:rsid w:val="4597A70E"/>
    <w:rsid w:val="45AC86CB"/>
    <w:rsid w:val="45F7F785"/>
    <w:rsid w:val="48AC57D9"/>
    <w:rsid w:val="48D79E30"/>
    <w:rsid w:val="4907AD7E"/>
    <w:rsid w:val="4925663C"/>
    <w:rsid w:val="4A8EDD92"/>
    <w:rsid w:val="4AB088E3"/>
    <w:rsid w:val="4B2D8977"/>
    <w:rsid w:val="4B9FFDCB"/>
    <w:rsid w:val="4BD25804"/>
    <w:rsid w:val="4C448098"/>
    <w:rsid w:val="4CA70DA8"/>
    <w:rsid w:val="4CB1AA66"/>
    <w:rsid w:val="4D5FAC56"/>
    <w:rsid w:val="4DBB965C"/>
    <w:rsid w:val="4DFB4111"/>
    <w:rsid w:val="4E2FDDCB"/>
    <w:rsid w:val="4E8912EB"/>
    <w:rsid w:val="4F5CA563"/>
    <w:rsid w:val="504304C2"/>
    <w:rsid w:val="50562372"/>
    <w:rsid w:val="510D7CC0"/>
    <w:rsid w:val="519B6213"/>
    <w:rsid w:val="51BD91A0"/>
    <w:rsid w:val="5238EE68"/>
    <w:rsid w:val="524B3BCD"/>
    <w:rsid w:val="52C2CCA6"/>
    <w:rsid w:val="53E340D6"/>
    <w:rsid w:val="55147EB6"/>
    <w:rsid w:val="55859B28"/>
    <w:rsid w:val="55CD851A"/>
    <w:rsid w:val="5760EE60"/>
    <w:rsid w:val="57637338"/>
    <w:rsid w:val="5782FC27"/>
    <w:rsid w:val="579F8B60"/>
    <w:rsid w:val="57BF6F13"/>
    <w:rsid w:val="58423CDB"/>
    <w:rsid w:val="58690580"/>
    <w:rsid w:val="58B1D231"/>
    <w:rsid w:val="58D51DCE"/>
    <w:rsid w:val="59B1783E"/>
    <w:rsid w:val="59F28FAB"/>
    <w:rsid w:val="5AF70FD5"/>
    <w:rsid w:val="5B30E778"/>
    <w:rsid w:val="5B3EA0FE"/>
    <w:rsid w:val="5B785728"/>
    <w:rsid w:val="5C1FA353"/>
    <w:rsid w:val="5D38EACE"/>
    <w:rsid w:val="5DDEEF23"/>
    <w:rsid w:val="5E3DA2B4"/>
    <w:rsid w:val="5EB73CB4"/>
    <w:rsid w:val="5EC1D4D6"/>
    <w:rsid w:val="5F1CEEBA"/>
    <w:rsid w:val="5F61E880"/>
    <w:rsid w:val="5FD5C782"/>
    <w:rsid w:val="609C9901"/>
    <w:rsid w:val="60C841D9"/>
    <w:rsid w:val="60EEA849"/>
    <w:rsid w:val="61CFF6C4"/>
    <w:rsid w:val="620D5DD9"/>
    <w:rsid w:val="6323DBD9"/>
    <w:rsid w:val="63B21CAE"/>
    <w:rsid w:val="65852728"/>
    <w:rsid w:val="6737835D"/>
    <w:rsid w:val="67FEEC0A"/>
    <w:rsid w:val="682C0533"/>
    <w:rsid w:val="68B1DC1B"/>
    <w:rsid w:val="690E19EE"/>
    <w:rsid w:val="69490ECE"/>
    <w:rsid w:val="6A55FBC2"/>
    <w:rsid w:val="6A706CBB"/>
    <w:rsid w:val="6A8DBEB1"/>
    <w:rsid w:val="6AA6FCF6"/>
    <w:rsid w:val="6BDDDDD9"/>
    <w:rsid w:val="6C407A81"/>
    <w:rsid w:val="6C8BFD35"/>
    <w:rsid w:val="6CB8AA31"/>
    <w:rsid w:val="6CC5888B"/>
    <w:rsid w:val="6DD297EF"/>
    <w:rsid w:val="6E27CD96"/>
    <w:rsid w:val="6EA8CE78"/>
    <w:rsid w:val="6F576B02"/>
    <w:rsid w:val="70904CA6"/>
    <w:rsid w:val="71278D5E"/>
    <w:rsid w:val="714B5699"/>
    <w:rsid w:val="7347FFEE"/>
    <w:rsid w:val="7348CB8A"/>
    <w:rsid w:val="739A8B2E"/>
    <w:rsid w:val="74178CF2"/>
    <w:rsid w:val="74D7FEF0"/>
    <w:rsid w:val="74DDDA41"/>
    <w:rsid w:val="7577B9A3"/>
    <w:rsid w:val="757FC422"/>
    <w:rsid w:val="75CF3D7D"/>
    <w:rsid w:val="76A83CC0"/>
    <w:rsid w:val="76F1D495"/>
    <w:rsid w:val="776EFE9A"/>
    <w:rsid w:val="78016791"/>
    <w:rsid w:val="796352A9"/>
    <w:rsid w:val="796C5BD5"/>
    <w:rsid w:val="7A1243C0"/>
    <w:rsid w:val="7A409180"/>
    <w:rsid w:val="7B44729A"/>
    <w:rsid w:val="7BED3F77"/>
    <w:rsid w:val="7BF86EA0"/>
    <w:rsid w:val="7C3FC8C4"/>
    <w:rsid w:val="7CA3FC97"/>
    <w:rsid w:val="7CAC6658"/>
    <w:rsid w:val="7D0ED324"/>
    <w:rsid w:val="7DB1B57C"/>
    <w:rsid w:val="7E2E428F"/>
    <w:rsid w:val="7EEC6355"/>
    <w:rsid w:val="7F72A429"/>
    <w:rsid w:val="7FF1B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16DC"/>
  <w15:chartTrackingRefBased/>
  <w15:docId w15:val="{98772401-60A7-41AB-8C9C-B08FD74D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84F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sid w:val="00A84F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4F37"/>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84F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polaris-busi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microsoft.com/office/2020/10/relationships/intelligence" Target="intelligence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Herbert</dc:creator>
  <cp:keywords/>
  <dc:description/>
  <cp:lastModifiedBy>Mary Perets</cp:lastModifiedBy>
  <cp:revision>7</cp:revision>
  <dcterms:created xsi:type="dcterms:W3CDTF">2022-04-18T18:16:00Z</dcterms:created>
  <dcterms:modified xsi:type="dcterms:W3CDTF">2023-09-11T16:04:00Z</dcterms:modified>
</cp:coreProperties>
</file>